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highlight w:val="white"/>
          <w:rtl w:val="0"/>
        </w:rPr>
        <w:t xml:space="preserve">Rooster van assistent-muzen</w:t>
      </w:r>
    </w:p>
    <w:p w:rsidR="00000000" w:rsidDel="00000000" w:rsidP="00000000" w:rsidRDefault="00000000" w:rsidRPr="00000000">
      <w:pPr>
        <w:contextualSpacing w:val="0"/>
      </w:pPr>
      <w:r w:rsidDel="00000000" w:rsidR="00000000" w:rsidRPr="00000000">
        <w:rPr>
          <w:highlight w:val="white"/>
          <w:rtl w:val="0"/>
        </w:rPr>
        <w:t xml:space="preserve">Als assistent-muze dien je voor het begin van elk onderdeel je te melden bij de bijbehorende muzen (zie muzen rooster). Deze kunnen uitleg geven over wat je moet doen, dit is dus het optuigen en afbreken van de onderdelen. Tijdens de aangegeven tijden moet je beschikbaar zijn om te helpen.</w:t>
      </w:r>
    </w:p>
    <w:p w:rsidR="00000000" w:rsidDel="00000000" w:rsidP="00000000" w:rsidRDefault="00000000" w:rsidRPr="00000000">
      <w:pPr>
        <w:contextualSpacing w:val="0"/>
      </w:pPr>
      <w:r w:rsidDel="00000000" w:rsidR="00000000" w:rsidRPr="00000000">
        <w:rPr>
          <w:highlight w:val="white"/>
          <w:rtl w:val="0"/>
        </w:rPr>
        <w:t xml:space="preserve">NB: vooral de onderdelen ‘estafette’ en ‘cowboy games’ hebben veel optuig tijd nodig. Vraag dus de bijbehorende muzen over wanneer je mee kan helpen.</w:t>
      </w:r>
    </w:p>
    <w:p w:rsidR="00000000" w:rsidDel="00000000" w:rsidP="00000000" w:rsidRDefault="00000000" w:rsidRPr="00000000">
      <w:pPr>
        <w:contextualSpacing w:val="0"/>
      </w:pPr>
      <w:r w:rsidDel="00000000" w:rsidR="00000000" w:rsidRPr="00000000">
        <w:rPr>
          <w:rtl w:val="0"/>
        </w:rPr>
      </w:r>
    </w:p>
    <w:tbl>
      <w:tblPr>
        <w:tblStyle w:val="Table1"/>
        <w:bidi w:val="0"/>
        <w:tblW w:w="889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800"/>
        <w:gridCol w:w="3090"/>
        <w:gridCol w:w="4005"/>
        <w:tblGridChange w:id="0">
          <w:tblGrid>
            <w:gridCol w:w="1800"/>
            <w:gridCol w:w="3090"/>
            <w:gridCol w:w="4005"/>
          </w:tblGrid>
        </w:tblGridChange>
      </w:tblGrid>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highlight w:val="white"/>
                <w:rtl w:val="0"/>
              </w:rPr>
              <w:t xml:space="preserve">Tijd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highlight w:val="white"/>
                <w:rtl w:val="0"/>
              </w:rPr>
              <w:t xml:space="preserve">Onderdeel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highlight w:val="white"/>
                <w:rtl w:val="0"/>
              </w:rPr>
              <w:t xml:space="preserve">Assistent-muzen</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highlight w:val="white"/>
                <w:rtl w:val="0"/>
              </w:rPr>
              <w:t xml:space="preserve">Woensdag</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8.25-8.30</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STEMPELEN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8.30-10.15</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Openingsact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10.15-10.30</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STEMPELEN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10.30-12.45</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Klassieke muziek</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Dinah, David, Sabine, Marije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Beauty pageant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Pim, Minne, Lars, Ole, Lotte, Bram</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12.45-13.00</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STEMPELEN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13.00-15.15</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Tekenen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Sabine, Lotte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Debat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Pim, David, Bram</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Toneel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Dinah, Marije, Minne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Bouwen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Lars, Ole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highlight w:val="white"/>
                <w:rtl w:val="0"/>
              </w:rPr>
              <w:t xml:space="preserve">Donderdag</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rPr>
          <w:trHeight w:val="400" w:hRule="atLeast"/>
        </w:trP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8.25-8.30</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STEMPELEN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8.30-10.45</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Cantus zingen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Minne, Sabine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Dans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Lotte, Marije, Lars, David</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10.45-11.00</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STEMPELEN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11.00-13.15</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Levend standbeeld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Bram, Pim, Ole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Modeshow</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Dinah, Minne, Lotte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13.15-13.30</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STEMPELEN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13.30-15.45</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Basketbal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Pim, Minne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Cowboy games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Bram, Lars, David</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Popmuziek</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Dinah, Ole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Estafette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Lotte, Marije, Sabine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highlight w:val="white"/>
                <w:rtl w:val="0"/>
              </w:rPr>
              <w:t xml:space="preserve">Vrijdag</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8.30-eind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Opzetten circustent parkeerplaats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highlight w:val="white"/>
                <w:rtl w:val="0"/>
              </w:rPr>
              <w:t xml:space="preserve">Iedereen</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